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F45" w:rsidRDefault="006B1C01">
      <w:pPr>
        <w:jc w:val="center"/>
        <w:rPr>
          <w:b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747246</wp:posOffset>
            </wp:positionH>
            <wp:positionV relativeFrom="paragraph">
              <wp:posOffset>-723899</wp:posOffset>
            </wp:positionV>
            <wp:extent cx="4906308" cy="1200150"/>
            <wp:effectExtent l="0" t="0" r="0" b="0"/>
            <wp:wrapNone/>
            <wp:docPr id="1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6308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0F45" w:rsidRDefault="001F0F45">
      <w:pPr>
        <w:jc w:val="center"/>
        <w:rPr>
          <w:b/>
          <w:color w:val="000000"/>
          <w:sz w:val="30"/>
          <w:szCs w:val="30"/>
        </w:rPr>
      </w:pPr>
    </w:p>
    <w:p w:rsidR="001F0F45" w:rsidRDefault="001F0F45">
      <w:pPr>
        <w:jc w:val="center"/>
        <w:rPr>
          <w:b/>
          <w:color w:val="000000"/>
          <w:sz w:val="30"/>
          <w:szCs w:val="30"/>
        </w:rPr>
      </w:pPr>
    </w:p>
    <w:p w:rsidR="001F0F45" w:rsidRDefault="006B1C01">
      <w:pPr>
        <w:jc w:val="center"/>
        <w:rPr>
          <w:b/>
          <w:color w:val="000000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page">
                  <wp:posOffset>674688</wp:posOffset>
                </wp:positionH>
                <wp:positionV relativeFrom="page">
                  <wp:posOffset>1385888</wp:posOffset>
                </wp:positionV>
                <wp:extent cx="2600325" cy="5836496"/>
                <wp:effectExtent l="0" t="0" r="0" b="0"/>
                <wp:wrapSquare wrapText="bothSides" distT="0" distB="0" distL="114300" distR="114300"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0600" y="871700"/>
                          <a:ext cx="2590800" cy="581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Tri-Valley High School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503 E. Washington St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Downs, IL 61736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Phone: 309.378.2911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Fax: 309.378.3202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CEEB Code: 141635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Website: 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t>http://hs.tri-valley3.org</w:t>
                            </w:r>
                          </w:p>
                          <w:p w:rsidR="001F0F45" w:rsidRDefault="001F0F45">
                            <w:pPr>
                              <w:textDirection w:val="btLr"/>
                            </w:pP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Superintendent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Mr. Ben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Derges</w:t>
                            </w:r>
                            <w:proofErr w:type="spellEnd"/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FF"/>
                                <w:u w:val="single"/>
                              </w:rPr>
                              <w:t>bderges@tri-valley3.org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309.378.2351 ext. 1003</w:t>
                            </w:r>
                          </w:p>
                          <w:p w:rsidR="001F0F45" w:rsidRDefault="001F0F45">
                            <w:pPr>
                              <w:textDirection w:val="btLr"/>
                            </w:pP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Principal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Mr. </w:t>
                            </w:r>
                            <w:r>
                              <w:rPr>
                                <w:color w:val="000000"/>
                              </w:rPr>
                              <w:t xml:space="preserve">Frank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Arnolts</w:t>
                            </w:r>
                            <w:proofErr w:type="spellEnd"/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FF"/>
                                <w:u w:val="single"/>
                              </w:rPr>
                              <w:t>farnolts@tri-valley3.org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309.378.2911 ext. 1303</w:t>
                            </w:r>
                          </w:p>
                          <w:p w:rsidR="001F0F45" w:rsidRDefault="001F0F45">
                            <w:pPr>
                              <w:textDirection w:val="btLr"/>
                            </w:pP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Athletic Director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Mr. Josh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Roop</w:t>
                            </w:r>
                            <w:proofErr w:type="spellEnd"/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FF"/>
                                <w:u w:val="single"/>
                              </w:rPr>
                              <w:t>jroop@tri-valley3.org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309.378.2911 ext. 1304</w:t>
                            </w:r>
                          </w:p>
                          <w:p w:rsidR="001F0F45" w:rsidRDefault="001F0F45">
                            <w:pPr>
                              <w:textDirection w:val="btLr"/>
                            </w:pP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Technology Director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Mr. Josh White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FF"/>
                                <w:u w:val="single"/>
                              </w:rPr>
                              <w:t>jwhite@tri-valley3.org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309.378.2911 ext. 1311</w:t>
                            </w:r>
                          </w:p>
                          <w:p w:rsidR="001F0F45" w:rsidRDefault="001F0F45">
                            <w:pPr>
                              <w:textDirection w:val="btLr"/>
                            </w:pP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School Counselor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Mrs. Emily Howse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FF"/>
                                <w:u w:val="single"/>
                              </w:rPr>
                              <w:t>ehowse@tri-valley3.org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309.378.2911 ext. 1305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674688</wp:posOffset>
                </wp:positionH>
                <wp:positionV relativeFrom="page">
                  <wp:posOffset>1385888</wp:posOffset>
                </wp:positionV>
                <wp:extent cx="2600325" cy="5836496"/>
                <wp:effectExtent b="0" l="0" r="0" t="0"/>
                <wp:wrapSquare wrapText="bothSides" distB="0" distT="0" distL="114300" distR="114300"/>
                <wp:docPr id="1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0325" cy="58364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color w:val="000000"/>
          <w:sz w:val="30"/>
          <w:szCs w:val="30"/>
        </w:rPr>
        <w:t>SCHOOL &amp; COMMUNITY HISTORY</w:t>
      </w:r>
    </w:p>
    <w:p w:rsidR="001F0F45" w:rsidRDefault="006B1C01">
      <w:pPr>
        <w:rPr>
          <w:rFonts w:ascii="Times New Roman" w:eastAsia="Times New Roman" w:hAnsi="Times New Roman" w:cs="Times New Roman"/>
        </w:rPr>
      </w:pPr>
      <w:r>
        <w:rPr>
          <w:color w:val="000000"/>
        </w:rPr>
        <w:t>Tri-Valley Community Unit School District #3 is an Early Childhood Education through 12th grade district located in Downs (population of approximately 1,100), located in east-central Illinois in the south-central portion of McLean County approximately eigh</w:t>
      </w:r>
      <w:r>
        <w:rPr>
          <w:color w:val="000000"/>
        </w:rPr>
        <w:t>t miles southeast of Bloomington-Normal.</w:t>
      </w:r>
    </w:p>
    <w:p w:rsidR="001F0F45" w:rsidRDefault="001F0F45">
      <w:pPr>
        <w:rPr>
          <w:rFonts w:ascii="Times New Roman" w:eastAsia="Times New Roman" w:hAnsi="Times New Roman" w:cs="Times New Roman"/>
        </w:rPr>
      </w:pPr>
    </w:p>
    <w:p w:rsidR="001F0F45" w:rsidRDefault="006B1C01">
      <w:pPr>
        <w:rPr>
          <w:rFonts w:ascii="Times New Roman" w:eastAsia="Times New Roman" w:hAnsi="Times New Roman" w:cs="Times New Roman"/>
        </w:rPr>
      </w:pPr>
      <w:r>
        <w:rPr>
          <w:color w:val="000000"/>
        </w:rPr>
        <w:t xml:space="preserve">Over the years, the Tri-Valley School District has gone through many changes. When the Downs and Ellsworth School Districts consolidated in 1962, Tri-Valley predominantly served a rural population with agriculture </w:t>
      </w:r>
      <w:r>
        <w:rPr>
          <w:color w:val="000000"/>
        </w:rPr>
        <w:t>as the primary economic factor. The small, rural, central Illinois communities included Downs, Ellsworth, and Holder. </w:t>
      </w:r>
    </w:p>
    <w:p w:rsidR="001F0F45" w:rsidRDefault="001F0F45">
      <w:pPr>
        <w:rPr>
          <w:rFonts w:ascii="Times New Roman" w:eastAsia="Times New Roman" w:hAnsi="Times New Roman" w:cs="Times New Roman"/>
        </w:rPr>
      </w:pPr>
    </w:p>
    <w:p w:rsidR="001F0F45" w:rsidRDefault="006B1C01">
      <w:pPr>
        <w:rPr>
          <w:rFonts w:ascii="Times New Roman" w:eastAsia="Times New Roman" w:hAnsi="Times New Roman" w:cs="Times New Roman"/>
        </w:rPr>
      </w:pPr>
      <w:r>
        <w:rPr>
          <w:color w:val="000000"/>
        </w:rPr>
        <w:t>The development of subdivisions between Downs and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color w:val="000000"/>
        </w:rPr>
        <w:t>Bloomington has changed the demographics of the district over the past 20 years to now</w:t>
      </w:r>
      <w:r>
        <w:rPr>
          <w:color w:val="000000"/>
        </w:rPr>
        <w:t xml:space="preserve"> include families living on the southeast side of Bloomington. </w:t>
      </w:r>
      <w:r>
        <w:rPr>
          <w:color w:val="000000"/>
          <w:highlight w:val="white"/>
        </w:rPr>
        <w:t xml:space="preserve">Tri-Valley has become an area populated by a large number of middle to upper income families, many of whom are </w:t>
      </w:r>
      <w:proofErr w:type="gramStart"/>
      <w:r>
        <w:rPr>
          <w:color w:val="000000"/>
          <w:highlight w:val="white"/>
        </w:rPr>
        <w:t>associated</w:t>
      </w:r>
      <w:proofErr w:type="gramEnd"/>
      <w:r>
        <w:rPr>
          <w:color w:val="000000"/>
          <w:highlight w:val="white"/>
        </w:rPr>
        <w:t xml:space="preserve"> with State Farm Insurance Company, whose corporate headquarters are loc</w:t>
      </w:r>
      <w:r>
        <w:rPr>
          <w:color w:val="000000"/>
          <w:highlight w:val="white"/>
        </w:rPr>
        <w:t>ated on the southeast corner of Bloomington.</w:t>
      </w:r>
    </w:p>
    <w:p w:rsidR="001F0F45" w:rsidRDefault="001F0F45">
      <w:pPr>
        <w:rPr>
          <w:rFonts w:ascii="Times New Roman" w:eastAsia="Times New Roman" w:hAnsi="Times New Roman" w:cs="Times New Roman"/>
        </w:rPr>
      </w:pPr>
    </w:p>
    <w:p w:rsidR="001F0F45" w:rsidRDefault="006B1C01">
      <w:pPr>
        <w:ind w:firstLine="720"/>
        <w:rPr>
          <w:rFonts w:ascii="Times New Roman" w:eastAsia="Times New Roman" w:hAnsi="Times New Roman" w:cs="Times New Roman"/>
        </w:rPr>
      </w:pPr>
      <w:r>
        <w:rPr>
          <w:color w:val="000000"/>
        </w:rPr>
        <w:t>Tri-Valley High School is a four-year comprehensive school with graduation requirements that put students on a college preparatory track. There are eight periods, each 42 minutes long, with a 20-minute homeroom</w:t>
      </w:r>
      <w:r>
        <w:rPr>
          <w:color w:val="000000"/>
        </w:rPr>
        <w:t xml:space="preserve"> at the end of the day. On average, TVHS core class size is 19 students. Tri-Valley is in the H</w:t>
      </w:r>
      <w:r>
        <w:t>OIC.</w:t>
      </w:r>
    </w:p>
    <w:p w:rsidR="001F0F45" w:rsidRDefault="001F0F45">
      <w:pPr>
        <w:rPr>
          <w:rFonts w:ascii="Times New Roman" w:eastAsia="Times New Roman" w:hAnsi="Times New Roman" w:cs="Times New Roman"/>
        </w:rPr>
      </w:pPr>
    </w:p>
    <w:p w:rsidR="001F0F45" w:rsidRDefault="006B1C0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" w:eastAsia="Times" w:hAnsi="Times" w:cs="Times"/>
          <w:b/>
          <w:color w:val="000000"/>
        </w:rPr>
        <w:t>STUDENT DEMOGRAPHICS</w:t>
      </w:r>
    </w:p>
    <w:p w:rsidR="001F0F45" w:rsidRDefault="006B1C01">
      <w:pPr>
        <w:rPr>
          <w:rFonts w:ascii="Times New Roman" w:eastAsia="Times New Roman" w:hAnsi="Times New Roman" w:cs="Times New Roman"/>
        </w:rPr>
      </w:pPr>
      <w:r>
        <w:rPr>
          <w:i/>
          <w:color w:val="000000"/>
        </w:rPr>
        <w:t>202</w:t>
      </w:r>
      <w:r>
        <w:rPr>
          <w:i/>
        </w:rPr>
        <w:t>3</w:t>
      </w:r>
      <w:r>
        <w:rPr>
          <w:i/>
          <w:color w:val="000000"/>
        </w:rPr>
        <w:t>-2</w:t>
      </w:r>
      <w:r>
        <w:rPr>
          <w:i/>
        </w:rPr>
        <w:t>4</w:t>
      </w:r>
      <w:r>
        <w:rPr>
          <w:i/>
          <w:color w:val="000000"/>
        </w:rPr>
        <w:t xml:space="preserve"> District Student Body: 1557</w:t>
      </w:r>
      <w:r>
        <w:tab/>
      </w:r>
      <w:r>
        <w:rPr>
          <w:color w:val="000000"/>
        </w:rPr>
        <w:tab/>
      </w:r>
      <w:r>
        <w:t xml:space="preserve">     </w:t>
      </w:r>
      <w:r>
        <w:rPr>
          <w:i/>
          <w:color w:val="000000"/>
        </w:rPr>
        <w:t xml:space="preserve">Ethnic Breakdown: </w:t>
      </w:r>
      <w:r>
        <w:rPr>
          <w:i/>
        </w:rPr>
        <w:t xml:space="preserve"> </w:t>
      </w:r>
      <w:r>
        <w:rPr>
          <w:i/>
          <w:color w:val="000000"/>
        </w:rPr>
        <w:t>9</w:t>
      </w:r>
      <w:r>
        <w:rPr>
          <w:i/>
        </w:rPr>
        <w:t>5</w:t>
      </w:r>
      <w:r>
        <w:rPr>
          <w:color w:val="000000"/>
        </w:rPr>
        <w:t>% Caucasian</w:t>
      </w:r>
    </w:p>
    <w:p w:rsidR="001F0F45" w:rsidRDefault="006B1C01">
      <w:pPr>
        <w:rPr>
          <w:rFonts w:ascii="Times New Roman" w:eastAsia="Times New Roman" w:hAnsi="Times New Roman" w:cs="Times New Roman"/>
        </w:rPr>
      </w:pPr>
      <w:r>
        <w:rPr>
          <w:i/>
          <w:color w:val="000000"/>
        </w:rPr>
        <w:t>202</w:t>
      </w:r>
      <w:r>
        <w:rPr>
          <w:i/>
        </w:rPr>
        <w:t>2</w:t>
      </w:r>
      <w:r>
        <w:rPr>
          <w:i/>
          <w:color w:val="000000"/>
        </w:rPr>
        <w:t>-2</w:t>
      </w:r>
      <w:r>
        <w:rPr>
          <w:i/>
        </w:rPr>
        <w:t>3</w:t>
      </w:r>
      <w:r>
        <w:rPr>
          <w:i/>
          <w:color w:val="000000"/>
        </w:rPr>
        <w:t xml:space="preserve"> High School Student Body:</w:t>
      </w:r>
      <w:r>
        <w:rPr>
          <w:color w:val="000000"/>
        </w:rPr>
        <w:t xml:space="preserve"> </w:t>
      </w:r>
      <w:r>
        <w:t>300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2% Multi-Racia</w:t>
      </w:r>
      <w:r>
        <w:rPr>
          <w:color w:val="000000"/>
        </w:rPr>
        <w:t>l</w:t>
      </w:r>
    </w:p>
    <w:p w:rsidR="001F0F45" w:rsidRDefault="006B1C01">
      <w:pPr>
        <w:rPr>
          <w:color w:val="000000"/>
        </w:rPr>
      </w:pPr>
      <w:r>
        <w:rPr>
          <w:i/>
          <w:color w:val="000000"/>
        </w:rPr>
        <w:t>202</w:t>
      </w:r>
      <w:r>
        <w:rPr>
          <w:i/>
        </w:rPr>
        <w:t>3</w:t>
      </w:r>
      <w:r>
        <w:rPr>
          <w:i/>
          <w:color w:val="000000"/>
        </w:rPr>
        <w:t>-2</w:t>
      </w:r>
      <w:r>
        <w:rPr>
          <w:i/>
        </w:rPr>
        <w:t xml:space="preserve">4 High School </w:t>
      </w:r>
      <w:r>
        <w:rPr>
          <w:i/>
          <w:color w:val="000000"/>
        </w:rPr>
        <w:t xml:space="preserve">Student Body: </w:t>
      </w:r>
      <w:r>
        <w:rPr>
          <w:color w:val="000000"/>
        </w:rPr>
        <w:tab/>
      </w:r>
      <w:r>
        <w:t>312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>
        <w:rPr>
          <w:color w:val="000000"/>
        </w:rPr>
        <w:tab/>
        <w:t xml:space="preserve">   2% African-American</w:t>
      </w:r>
    </w:p>
    <w:p w:rsidR="001F0F45" w:rsidRDefault="006B1C0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2024 </w:t>
      </w:r>
      <w:r>
        <w:rPr>
          <w:i/>
          <w:color w:val="000000"/>
        </w:rPr>
        <w:t>Senior Class:</w:t>
      </w:r>
      <w:r>
        <w:rPr>
          <w:color w:val="000000"/>
        </w:rPr>
        <w:t xml:space="preserve"> </w:t>
      </w:r>
      <w:r>
        <w:t>80</w:t>
      </w:r>
      <w: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1% Asian</w:t>
      </w:r>
    </w:p>
    <w:p w:rsidR="001F0F45" w:rsidRDefault="006B1C01">
      <w:pPr>
        <w:ind w:left="5040"/>
        <w:rPr>
          <w:rFonts w:ascii="Times New Roman" w:eastAsia="Times New Roman" w:hAnsi="Times New Roman" w:cs="Times New Roman"/>
        </w:rPr>
      </w:pPr>
      <w:r>
        <w:rPr>
          <w:i/>
          <w:color w:val="000000"/>
        </w:rPr>
        <w:t>Low-Income Students:</w:t>
      </w:r>
      <w:r>
        <w:rPr>
          <w:color w:val="000000"/>
        </w:rPr>
        <w:t xml:space="preserve"> </w:t>
      </w:r>
      <w:r>
        <w:t>10</w:t>
      </w:r>
      <w:r>
        <w:rPr>
          <w:color w:val="000000"/>
        </w:rPr>
        <w:t>%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1F0F45" w:rsidRDefault="001F0F45">
      <w:pPr>
        <w:rPr>
          <w:rFonts w:ascii="Times New Roman" w:eastAsia="Times New Roman" w:hAnsi="Times New Roman" w:cs="Times New Roman"/>
        </w:rPr>
      </w:pPr>
    </w:p>
    <w:p w:rsidR="001F0F45" w:rsidRDefault="006B1C01">
      <w:pPr>
        <w:rPr>
          <w:rFonts w:ascii="Times New Roman" w:eastAsia="Times New Roman" w:hAnsi="Times New Roman" w:cs="Times New Roman"/>
        </w:rPr>
      </w:pPr>
      <w:r>
        <w:rPr>
          <w:b/>
          <w:color w:val="000000"/>
        </w:rPr>
        <w:t>DISCIPLINARY RECORDS POLICY:</w:t>
      </w:r>
      <w:r>
        <w:rPr>
          <w:color w:val="000000"/>
        </w:rPr>
        <w:t xml:space="preserve"> Tri-Valley does not share student disciplinary records with post-secondary institutions.</w:t>
      </w:r>
    </w:p>
    <w:p w:rsidR="001F0F45" w:rsidRDefault="006B1C01">
      <w:bookmarkStart w:id="0" w:name="_heading=h.gjdgxs" w:colFirst="0" w:colLast="0"/>
      <w:bookmarkEnd w:id="0"/>
      <w:r>
        <w:br w:type="page"/>
      </w:r>
      <w:r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2312988</wp:posOffset>
                </wp:positionH>
                <wp:positionV relativeFrom="page">
                  <wp:posOffset>1335088</wp:posOffset>
                </wp:positionV>
                <wp:extent cx="4086225" cy="7545262"/>
                <wp:effectExtent l="0" t="0" r="0" b="0"/>
                <wp:wrapSquare wrapText="bothSides" distT="0" distB="0" distL="114300" distR="114300"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07650" y="0"/>
                          <a:ext cx="40767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0F45" w:rsidRDefault="006B1C0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GRADUATION REQUIREMENTS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 one-half (.50) credit is earned each semester of enrollment in a course with a passing grade of D or above. Students are required to be in enrolled in seven courses a semester. In order to receive a diploma from Tri-Valley High School, students must comp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lete 25 credits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:rsidR="001F0F45" w:rsidRDefault="001F0F45">
                            <w:pPr>
                              <w:textDirection w:val="btLr"/>
                            </w:pPr>
                          </w:p>
                          <w:p w:rsidR="001F0F45" w:rsidRDefault="006B1C01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English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4 Credits</w:t>
                            </w:r>
                          </w:p>
                          <w:p w:rsidR="001F0F45" w:rsidRDefault="006B1C01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Math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3 Credits</w:t>
                            </w:r>
                          </w:p>
                          <w:p w:rsidR="001F0F45" w:rsidRDefault="006B1C01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Science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3 Credits</w:t>
                            </w:r>
                          </w:p>
                          <w:p w:rsidR="001F0F45" w:rsidRDefault="006B1C01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Social Science*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2.5 Credits</w:t>
                            </w:r>
                          </w:p>
                          <w:p w:rsidR="001F0F45" w:rsidRDefault="006B1C01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Physical Education**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3.5 Credits</w:t>
                            </w:r>
                          </w:p>
                          <w:p w:rsidR="001F0F45" w:rsidRDefault="006B1C01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.5 Credits</w:t>
                            </w:r>
                          </w:p>
                          <w:p w:rsidR="001F0F45" w:rsidRDefault="006B1C01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SCED 150: Life Success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.5 Credits</w:t>
                            </w:r>
                          </w:p>
                          <w:p w:rsidR="001F0F45" w:rsidRDefault="006B1C01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Introduction to Business***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.5 Credits</w:t>
                            </w:r>
                          </w:p>
                          <w:p w:rsidR="001F0F45" w:rsidRDefault="006B1C01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Art, Music,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Vocational E or Foreign Lang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2 Credits</w:t>
                            </w:r>
                          </w:p>
                          <w:p w:rsidR="001F0F45" w:rsidRDefault="006B1C01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Electives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5.5 Credits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*Must pass the Constitution Test given in Civics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**May include a semester of Driver Ed at TVHS, Health or SCED 150  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***This course fulfills the state’s Consumer Ed requirement</w:t>
                            </w:r>
                          </w:p>
                          <w:p w:rsidR="001F0F45" w:rsidRDefault="001F0F45">
                            <w:pPr>
                              <w:jc w:val="center"/>
                              <w:textDirection w:val="btLr"/>
                            </w:pPr>
                          </w:p>
                          <w:p w:rsidR="001F0F45" w:rsidRDefault="006B1C0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GRADE REPORTI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NG</w:t>
                            </w:r>
                          </w:p>
                          <w:p w:rsidR="001F0F45" w:rsidRDefault="006B1C01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100 – 90%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A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4 –Excellent Work</w:t>
                            </w:r>
                          </w:p>
                          <w:p w:rsidR="001F0F45" w:rsidRDefault="006B1C01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89 – 80%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B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3 – Above Avery Work</w:t>
                            </w:r>
                          </w:p>
                          <w:p w:rsidR="001F0F45" w:rsidRDefault="006B1C01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79 – 70%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C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2 – Average Work</w:t>
                            </w:r>
                          </w:p>
                          <w:p w:rsidR="001F0F45" w:rsidRDefault="006B1C01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69 – 60%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D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1 – Below Average Work</w:t>
                            </w:r>
                          </w:p>
                          <w:p w:rsidR="001F0F45" w:rsidRDefault="006B1C01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59 – 0%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F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0 – Unsatisfactory Work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INC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Incomplete Work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*The Actual grading scale used in a classroom may vary by teachers*</w:t>
                            </w:r>
                          </w:p>
                          <w:p w:rsidR="001F0F45" w:rsidRDefault="001F0F45">
                            <w:pPr>
                              <w:textDirection w:val="btLr"/>
                            </w:pPr>
                          </w:p>
                          <w:p w:rsidR="001F0F45" w:rsidRDefault="006B1C0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Grade Point Averages are calculated numerically with</w:t>
                            </w:r>
                          </w:p>
                          <w:p w:rsidR="001F0F45" w:rsidRDefault="006B1C0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 = 4.0; A- = 3.667; B+ = 3.333; B = 3.0; B-= 2.667;</w:t>
                            </w:r>
                          </w:p>
                          <w:p w:rsidR="001F0F45" w:rsidRDefault="006B1C0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C+ = 2.333; C = 2.0; C- = 1.667; D+ = 1.333; D = 1.0;</w:t>
                            </w:r>
                          </w:p>
                          <w:p w:rsidR="001F0F45" w:rsidRDefault="006B1C0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D- = .667; F = 0.</w:t>
                            </w:r>
                          </w:p>
                          <w:p w:rsidR="001F0F45" w:rsidRDefault="001F0F45">
                            <w:pPr>
                              <w:jc w:val="center"/>
                              <w:textDirection w:val="btLr"/>
                            </w:pPr>
                          </w:p>
                          <w:p w:rsidR="001F0F45" w:rsidRDefault="006B1C0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</w:rPr>
                              <w:t>Only  AP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</w:rPr>
                              <w:t xml:space="preserve">  classes taken at TVHS are weighted on a 5.0 scale  when the AP Exa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</w:rPr>
                              <w:t xml:space="preserve">m is taken. </w:t>
                            </w:r>
                          </w:p>
                          <w:p w:rsidR="001F0F45" w:rsidRDefault="001F0F45">
                            <w:pPr>
                              <w:jc w:val="center"/>
                              <w:textDirection w:val="btLr"/>
                            </w:pPr>
                          </w:p>
                          <w:p w:rsidR="001F0F45" w:rsidRDefault="006B1C0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Testing</w:t>
                            </w:r>
                          </w:p>
                          <w:p w:rsidR="001F0F45" w:rsidRDefault="006B1C0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The Class of 2024 was required to take the SAT in the spring of 2023 to be eligible for a diploma.</w:t>
                            </w:r>
                          </w:p>
                          <w:p w:rsidR="001F0F45" w:rsidRDefault="001F0F45">
                            <w:pPr>
                              <w:textDirection w:val="btLr"/>
                            </w:pPr>
                          </w:p>
                          <w:p w:rsidR="001F0F45" w:rsidRDefault="006B1C0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CLASS SIZES FOR THE 2023-2024 SCHOOL YEAR</w:t>
                            </w:r>
                          </w:p>
                          <w:p w:rsidR="001F0F45" w:rsidRDefault="006B1C0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Class of 2024:   80 students</w:t>
                            </w:r>
                          </w:p>
                          <w:p w:rsidR="001F0F45" w:rsidRDefault="006B1C0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Class of 2025:  69 students</w:t>
                            </w:r>
                          </w:p>
                          <w:p w:rsidR="001F0F45" w:rsidRDefault="006B1C0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Class of 2026    73 students</w:t>
                            </w:r>
                          </w:p>
                          <w:p w:rsidR="001F0F45" w:rsidRDefault="006B1C0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Class of 2027:   90 students</w:t>
                            </w:r>
                          </w:p>
                          <w:p w:rsidR="001F0F45" w:rsidRDefault="001F0F45">
                            <w:pPr>
                              <w:jc w:val="center"/>
                              <w:textDirection w:val="btLr"/>
                            </w:pPr>
                          </w:p>
                          <w:p w:rsidR="001F0F45" w:rsidRDefault="001F0F45">
                            <w:pPr>
                              <w:ind w:left="360" w:firstLine="360"/>
                              <w:jc w:val="center"/>
                              <w:textDirection w:val="btLr"/>
                            </w:pPr>
                          </w:p>
                          <w:p w:rsidR="001F0F45" w:rsidRDefault="001F0F45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2312988</wp:posOffset>
                </wp:positionH>
                <wp:positionV relativeFrom="page">
                  <wp:posOffset>1335088</wp:posOffset>
                </wp:positionV>
                <wp:extent cx="4086225" cy="7545262"/>
                <wp:effectExtent b="0" l="0" r="0" t="0"/>
                <wp:wrapSquare wrapText="bothSides" distB="0" distT="0" distL="114300" distR="114300"/>
                <wp:docPr id="11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86225" cy="75452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-177799</wp:posOffset>
                </wp:positionH>
                <wp:positionV relativeFrom="margin">
                  <wp:align>center</wp:align>
                </wp:positionV>
                <wp:extent cx="2336800" cy="7361870"/>
                <wp:effectExtent l="0" t="0" r="0" b="0"/>
                <wp:wrapSquare wrapText="bothSides" distT="0" distB="0" distL="114300" distR="114300"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3950" y="100175"/>
                          <a:ext cx="2324100" cy="73596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CLASS RANK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We do not rank our students.</w:t>
                            </w:r>
                          </w:p>
                          <w:p w:rsidR="001F0F45" w:rsidRDefault="001F0F45">
                            <w:pPr>
                              <w:textDirection w:val="btLr"/>
                            </w:pP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Curriculum Offered: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10  AP Classes: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AP Calculus AB, AP Chemistry, AP Computer Science Principles, AP Computer Science A, AP English Language, AP English Literature, AP Physics C, A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P Spanish Language, AP US History, AP Psychology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7 Dual Credit Classes: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Ag 120, Biology 114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Comm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101,  Digital Media 101, Math 141, Math 131, Art 150</w:t>
                            </w:r>
                          </w:p>
                          <w:p w:rsidR="001F0F45" w:rsidRDefault="001F0F45">
                            <w:pPr>
                              <w:textDirection w:val="btLr"/>
                            </w:pP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Superior Honor Roll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: 3.75-4.0 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Regular Honor Roll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: 3.25-3.749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(Honor Roll is determined using non-weighted GPA)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1F0F45" w:rsidRDefault="001F0F45">
                            <w:pPr>
                              <w:textDirection w:val="btLr"/>
                            </w:pP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ACADEMIC RECOGNITIONS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Seniors may earn the following academic recognition. All eight semesters are considered for the academic recognition:</w:t>
                            </w:r>
                          </w:p>
                          <w:p w:rsidR="001F0F45" w:rsidRDefault="001F0F45">
                            <w:pPr>
                              <w:textDirection w:val="btLr"/>
                            </w:pP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Graduate of Distinction: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3.81 non-weighted GPA w/ the following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curriculum: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1. 2 AP Humanities Courses with exam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2. 2 AP Math, Science or Computer Science courses with exam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3. 1 additional AP course of student’s choosing with exam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4. 2 credits of foreign language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5. 4 credits of art, music, agriculture, foreign language, business or industrial arts</w:t>
                            </w:r>
                          </w:p>
                          <w:p w:rsidR="001F0F45" w:rsidRDefault="001F0F45">
                            <w:pPr>
                              <w:textDirection w:val="btLr"/>
                            </w:pP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Summa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Cum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Laude: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3.98-4.0 non-weighted GPA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Magna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Cum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Laude: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3.81-3.97 non-weighted GPA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Cum Laude: </w:t>
                            </w:r>
                          </w:p>
                          <w:p w:rsidR="001F0F45" w:rsidRDefault="006B1C0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3.5-3.8 non-weighted GPA</w:t>
                            </w:r>
                          </w:p>
                          <w:p w:rsidR="001F0F45" w:rsidRDefault="001F0F45">
                            <w:pPr>
                              <w:textDirection w:val="btLr"/>
                            </w:pPr>
                          </w:p>
                          <w:p w:rsidR="001F0F45" w:rsidRDefault="001F0F45">
                            <w:pPr>
                              <w:textDirection w:val="btLr"/>
                            </w:pPr>
                          </w:p>
                          <w:p w:rsidR="001F0F45" w:rsidRDefault="001F0F4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-177799</wp:posOffset>
                </wp:positionH>
                <wp:positionV relativeFrom="margin">
                  <wp:align>center</wp:align>
                </wp:positionV>
                <wp:extent cx="2336800" cy="7361870"/>
                <wp:effectExtent b="0" l="0" r="0" t="0"/>
                <wp:wrapSquare wrapText="bothSides" distB="0" distT="0" distL="114300" distR="114300"/>
                <wp:docPr id="1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800" cy="73618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65088</wp:posOffset>
                </wp:positionH>
                <wp:positionV relativeFrom="page">
                  <wp:posOffset>985838</wp:posOffset>
                </wp:positionV>
                <wp:extent cx="6343650" cy="7551511"/>
                <wp:effectExtent l="0" t="0" r="0" b="0"/>
                <wp:wrapSquare wrapText="bothSides" distT="0" distB="0" distL="114300" distR="114300"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8938" y="0"/>
                          <a:ext cx="6334125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0F45" w:rsidRDefault="001F0F45">
                            <w:pPr>
                              <w:jc w:val="center"/>
                              <w:textDirection w:val="btLr"/>
                            </w:pPr>
                          </w:p>
                          <w:p w:rsidR="001F0F45" w:rsidRDefault="001F0F45">
                            <w:pPr>
                              <w:jc w:val="center"/>
                              <w:textDirection w:val="btLr"/>
                            </w:pPr>
                          </w:p>
                          <w:p w:rsidR="001F0F45" w:rsidRDefault="001F0F45">
                            <w:pPr>
                              <w:textDirection w:val="btLr"/>
                            </w:pPr>
                          </w:p>
                          <w:p w:rsidR="001F0F45" w:rsidRDefault="001F0F45">
                            <w:pPr>
                              <w:textDirection w:val="btLr"/>
                            </w:pPr>
                          </w:p>
                          <w:p w:rsidR="001F0F45" w:rsidRDefault="006B1C0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POST-SECONDARY PLANS FOR CLASS OF 2023</w:t>
                            </w:r>
                          </w:p>
                          <w:p w:rsidR="001F0F45" w:rsidRDefault="006B1C01">
                            <w:pPr>
                              <w:ind w:left="180" w:firstLine="18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4-Year College:  57% / 2-Year College or Technical School: 35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%  /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Workforce or Military: 9%</w:t>
                            </w:r>
                          </w:p>
                          <w:p w:rsidR="001F0F45" w:rsidRDefault="001F0F45">
                            <w:pPr>
                              <w:ind w:left="180" w:firstLine="180"/>
                              <w:jc w:val="center"/>
                              <w:textDirection w:val="btLr"/>
                            </w:pPr>
                          </w:p>
                          <w:p w:rsidR="001F0F45" w:rsidRDefault="006B1C0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Colleges Attended by the Class of 2023 </w:t>
                            </w:r>
                          </w:p>
                          <w:p w:rsidR="001F0F45" w:rsidRDefault="006B1C01">
                            <w:pPr>
                              <w:ind w:left="720" w:firstLine="720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Augus</w:t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000000"/>
                                <w:sz w:val="20"/>
                              </w:rPr>
                              <w:t>tana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College,  Belhaven University,  Drake University,  Drury University,  East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ern Illinois University,  Flagler College,  Grand Canyon University,  Heartland Community College,  Illinois State University,  Illinois Wesleyan University,  Knox College,  Lake  Land Community College,  Marquette University,  Maryville University,  Michi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gan State University,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Millikin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University,  Missouri State University,  Monmouth College,  Olivet Nazarene University,  Purdue University,  Saint Louis University,  Santa Clara University,  Southern Illinois University at Edwardsville, Southern Illinois U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niversity at Carbondale, Texas Tech University,  Trinity Christian College,  Truman State University,  University of Chicago,  University of Illinois Urbana-Champaign,  University of Illinois at Chicago,  University of Kansas,  University of Louisville,  U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niversity of Missouri at Columbia,  University of New Mexico,  Vancouver Film School</w:t>
                            </w:r>
                          </w:p>
                          <w:p w:rsidR="001F0F45" w:rsidRDefault="001F0F45">
                            <w:pPr>
                              <w:ind w:firstLine="720"/>
                              <w:textDirection w:val="btLr"/>
                            </w:pPr>
                          </w:p>
                          <w:p w:rsidR="001F0F45" w:rsidRDefault="001F0F45">
                            <w:pPr>
                              <w:ind w:left="180" w:firstLine="18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65088</wp:posOffset>
                </wp:positionH>
                <wp:positionV relativeFrom="page">
                  <wp:posOffset>985838</wp:posOffset>
                </wp:positionV>
                <wp:extent cx="6343650" cy="7551511"/>
                <wp:effectExtent b="0" l="0" r="0" t="0"/>
                <wp:wrapSquare wrapText="bothSides" distB="0" distT="0" distL="114300" distR="114300"/>
                <wp:docPr id="1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3650" cy="75515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1F0F45">
      <w:headerReference w:type="default" r:id="rId12"/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C01" w:rsidRDefault="006B1C01">
      <w:r>
        <w:separator/>
      </w:r>
    </w:p>
  </w:endnote>
  <w:endnote w:type="continuationSeparator" w:id="0">
    <w:p w:rsidR="006B1C01" w:rsidRDefault="006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C01" w:rsidRDefault="006B1C01">
      <w:r>
        <w:separator/>
      </w:r>
    </w:p>
  </w:footnote>
  <w:footnote w:type="continuationSeparator" w:id="0">
    <w:p w:rsidR="006B1C01" w:rsidRDefault="006B1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45" w:rsidRDefault="006B1C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1266825</wp:posOffset>
          </wp:positionH>
          <wp:positionV relativeFrom="page">
            <wp:posOffset>57150</wp:posOffset>
          </wp:positionV>
          <wp:extent cx="4906308" cy="1200150"/>
          <wp:effectExtent l="0" t="0" r="0" b="0"/>
          <wp:wrapNone/>
          <wp:docPr id="1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6308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747713</wp:posOffset>
          </wp:positionH>
          <wp:positionV relativeFrom="paragraph">
            <wp:posOffset>-400049</wp:posOffset>
          </wp:positionV>
          <wp:extent cx="4906308" cy="1200150"/>
          <wp:effectExtent l="0" t="0" r="0" b="0"/>
          <wp:wrapNone/>
          <wp:docPr id="1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6308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F0F45" w:rsidRDefault="001F0F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45"/>
    <w:rsid w:val="001F0F45"/>
    <w:rsid w:val="006B1C01"/>
    <w:rsid w:val="00FA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40B04-A912-4E1F-8C94-EA8852F3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80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33F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32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386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E5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B2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21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C27"/>
  </w:style>
  <w:style w:type="paragraph" w:styleId="Footer">
    <w:name w:val="footer"/>
    <w:basedOn w:val="Normal"/>
    <w:link w:val="FooterChar"/>
    <w:uiPriority w:val="99"/>
    <w:unhideWhenUsed/>
    <w:rsid w:val="00321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Es+wAILt+bNwI6SBg4PN7rVt5w==">CgMxLjAyCGguZ2pkZ3hzOAByITFFNmc1ajBKMEEwY0NxZjZrR1lSVjVKZHJpRFp0ZmNJQQ==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Hollenkamp</dc:creator>
  <cp:lastModifiedBy>Emily Howse</cp:lastModifiedBy>
  <cp:revision>2</cp:revision>
  <dcterms:created xsi:type="dcterms:W3CDTF">2023-08-11T19:02:00Z</dcterms:created>
  <dcterms:modified xsi:type="dcterms:W3CDTF">2023-08-11T19:02:00Z</dcterms:modified>
</cp:coreProperties>
</file>